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0DBE" w14:textId="21345B4D" w:rsidR="00871393" w:rsidRPr="007E5A2F" w:rsidRDefault="00B55B4E" w:rsidP="000B59B2">
      <w:pPr>
        <w:spacing w:line="276" w:lineRule="auto"/>
        <w:jc w:val="center"/>
        <w:rPr>
          <w:b/>
          <w:bCs/>
          <w:color w:val="002060"/>
          <w:sz w:val="24"/>
          <w:szCs w:val="24"/>
        </w:rPr>
      </w:pPr>
      <w:r w:rsidRPr="007E5A2F">
        <w:rPr>
          <w:b/>
          <w:bCs/>
          <w:color w:val="002060"/>
          <w:sz w:val="24"/>
          <w:szCs w:val="24"/>
        </w:rPr>
        <w:t>APEL route to AMBDA Dyscalculia: Self Check document</w:t>
      </w:r>
    </w:p>
    <w:p w14:paraId="2F07729E" w14:textId="21D25BA3" w:rsidR="00B55B4E" w:rsidRPr="007E5A2F" w:rsidRDefault="00B55B4E" w:rsidP="000B59B2">
      <w:pPr>
        <w:spacing w:line="276" w:lineRule="auto"/>
        <w:rPr>
          <w:color w:val="002060"/>
          <w:sz w:val="24"/>
          <w:szCs w:val="24"/>
        </w:rPr>
      </w:pPr>
      <w:r w:rsidRPr="007E5A2F">
        <w:rPr>
          <w:color w:val="002060"/>
          <w:sz w:val="24"/>
          <w:szCs w:val="24"/>
        </w:rPr>
        <w:t>This document is provided to help you determine if your portfolio is likely to contain sufficient evidence to apply for the APEL route. It cannot determine if you will be successful in your application.</w:t>
      </w:r>
    </w:p>
    <w:p w14:paraId="00F06319" w14:textId="17E9136F" w:rsidR="00B55B4E" w:rsidRPr="007E5A2F" w:rsidRDefault="00B55B4E" w:rsidP="002905D3">
      <w:pPr>
        <w:spacing w:line="276" w:lineRule="auto"/>
        <w:rPr>
          <w:color w:val="002060"/>
          <w:sz w:val="24"/>
          <w:szCs w:val="24"/>
        </w:rPr>
      </w:pPr>
      <w:r w:rsidRPr="007E5A2F">
        <w:rPr>
          <w:color w:val="002060"/>
          <w:sz w:val="24"/>
          <w:szCs w:val="24"/>
        </w:rPr>
        <w:t xml:space="preserve">This is a self-check tool. You are not required to submit this as part of your APEL application. </w:t>
      </w:r>
      <w:r w:rsidR="00955B5F" w:rsidRPr="007E5A2F">
        <w:rPr>
          <w:color w:val="002060"/>
          <w:sz w:val="24"/>
          <w:szCs w:val="24"/>
        </w:rPr>
        <w:t xml:space="preserve">Further detail can be found in the document: </w:t>
      </w:r>
      <w:r w:rsidR="002905D3" w:rsidRPr="007E5A2F">
        <w:rPr>
          <w:color w:val="002060"/>
          <w:sz w:val="24"/>
          <w:szCs w:val="24"/>
        </w:rPr>
        <w:t>SASC Guidance on assessment of Dyscalculia and Maths Difficulties within other Specific Learning Difficulties,</w:t>
      </w:r>
      <w:r w:rsidR="00955B5F" w:rsidRPr="007E5A2F">
        <w:rPr>
          <w:color w:val="002060"/>
          <w:sz w:val="24"/>
          <w:szCs w:val="24"/>
        </w:rPr>
        <w:t xml:space="preserve"> on the following </w:t>
      </w:r>
      <w:r w:rsidR="00022A4D">
        <w:rPr>
          <w:color w:val="002060"/>
          <w:sz w:val="24"/>
          <w:szCs w:val="24"/>
        </w:rPr>
        <w:t>web</w:t>
      </w:r>
      <w:r w:rsidR="000E1BA2">
        <w:rPr>
          <w:color w:val="002060"/>
          <w:sz w:val="24"/>
          <w:szCs w:val="24"/>
        </w:rPr>
        <w:t>page</w:t>
      </w:r>
      <w:r w:rsidR="00955B5F" w:rsidRPr="007E5A2F">
        <w:rPr>
          <w:color w:val="002060"/>
          <w:sz w:val="24"/>
          <w:szCs w:val="24"/>
        </w:rPr>
        <w:t xml:space="preserve">: </w:t>
      </w:r>
      <w:hyperlink r:id="rId5" w:history="1">
        <w:r w:rsidR="00955B5F" w:rsidRPr="007E5A2F">
          <w:rPr>
            <w:rStyle w:val="Hyperlink"/>
            <w:sz w:val="24"/>
            <w:szCs w:val="24"/>
          </w:rPr>
          <w:t>https://www.sasc.org.uk/sasc-downloads/</w:t>
        </w:r>
      </w:hyperlink>
      <w:r w:rsidR="00955B5F" w:rsidRPr="007E5A2F">
        <w:rPr>
          <w:color w:val="002060"/>
          <w:sz w:val="24"/>
          <w:szCs w:val="24"/>
        </w:rPr>
        <w:t xml:space="preserve"> </w:t>
      </w:r>
    </w:p>
    <w:tbl>
      <w:tblPr>
        <w:tblStyle w:val="TableGrid"/>
        <w:tblW w:w="5000" w:type="pct"/>
        <w:tblLook w:val="04A0" w:firstRow="1" w:lastRow="0" w:firstColumn="1" w:lastColumn="0" w:noHBand="0" w:noVBand="1"/>
      </w:tblPr>
      <w:tblGrid>
        <w:gridCol w:w="8076"/>
        <w:gridCol w:w="5872"/>
      </w:tblGrid>
      <w:tr w:rsidR="000B59B2" w:rsidRPr="007E5A2F" w14:paraId="11649807" w14:textId="77777777" w:rsidTr="0097440C">
        <w:tc>
          <w:tcPr>
            <w:tcW w:w="2895" w:type="pct"/>
            <w:shd w:val="clear" w:color="auto" w:fill="DAE9F7" w:themeFill="text2" w:themeFillTint="1A"/>
          </w:tcPr>
          <w:p w14:paraId="7A85BBB4" w14:textId="648C7CE3" w:rsidR="000B59B2" w:rsidRPr="007E5A2F" w:rsidRDefault="000B59B2" w:rsidP="000B59B2">
            <w:pPr>
              <w:spacing w:line="276" w:lineRule="auto"/>
              <w:jc w:val="center"/>
              <w:rPr>
                <w:b/>
                <w:bCs/>
                <w:color w:val="002060"/>
                <w:sz w:val="24"/>
                <w:szCs w:val="24"/>
              </w:rPr>
            </w:pPr>
            <w:r w:rsidRPr="007E5A2F">
              <w:rPr>
                <w:b/>
                <w:bCs/>
                <w:color w:val="002060"/>
                <w:sz w:val="24"/>
                <w:szCs w:val="24"/>
              </w:rPr>
              <w:t>SASC Criteria</w:t>
            </w:r>
          </w:p>
        </w:tc>
        <w:tc>
          <w:tcPr>
            <w:tcW w:w="2105" w:type="pct"/>
            <w:shd w:val="clear" w:color="auto" w:fill="DAE9F7" w:themeFill="text2" w:themeFillTint="1A"/>
          </w:tcPr>
          <w:p w14:paraId="56FF0B62" w14:textId="3F7E6DB7" w:rsidR="000B59B2" w:rsidRPr="007E5A2F" w:rsidRDefault="000B59B2" w:rsidP="000B59B2">
            <w:pPr>
              <w:spacing w:line="276" w:lineRule="auto"/>
              <w:jc w:val="center"/>
              <w:rPr>
                <w:b/>
                <w:bCs/>
                <w:color w:val="002060"/>
                <w:sz w:val="24"/>
                <w:szCs w:val="24"/>
              </w:rPr>
            </w:pPr>
            <w:r w:rsidRPr="007E5A2F">
              <w:rPr>
                <w:b/>
                <w:bCs/>
                <w:color w:val="002060"/>
                <w:sz w:val="24"/>
                <w:szCs w:val="24"/>
              </w:rPr>
              <w:t xml:space="preserve">Your </w:t>
            </w:r>
            <w:r w:rsidR="00022A4D">
              <w:rPr>
                <w:b/>
                <w:bCs/>
                <w:color w:val="002060"/>
                <w:sz w:val="24"/>
                <w:szCs w:val="24"/>
              </w:rPr>
              <w:t>notes</w:t>
            </w:r>
            <w:r w:rsidRPr="007E5A2F">
              <w:rPr>
                <w:b/>
                <w:bCs/>
                <w:color w:val="002060"/>
                <w:sz w:val="24"/>
                <w:szCs w:val="24"/>
              </w:rPr>
              <w:t xml:space="preserve"> on how you meet the criteria</w:t>
            </w:r>
          </w:p>
        </w:tc>
      </w:tr>
      <w:tr w:rsidR="000B59B2" w:rsidRPr="007E5A2F" w14:paraId="079C26B5" w14:textId="77777777" w:rsidTr="008F1E61">
        <w:tc>
          <w:tcPr>
            <w:tcW w:w="5000" w:type="pct"/>
            <w:gridSpan w:val="2"/>
            <w:shd w:val="clear" w:color="auto" w:fill="FFFF00"/>
          </w:tcPr>
          <w:p w14:paraId="19DC24FB" w14:textId="77777777" w:rsidR="000B59B2" w:rsidRPr="007E5A2F" w:rsidRDefault="000B59B2" w:rsidP="000B59B2">
            <w:pPr>
              <w:spacing w:line="276" w:lineRule="auto"/>
              <w:jc w:val="center"/>
              <w:rPr>
                <w:b/>
                <w:bCs/>
                <w:color w:val="002060"/>
                <w:sz w:val="24"/>
                <w:szCs w:val="24"/>
              </w:rPr>
            </w:pPr>
            <w:r w:rsidRPr="007E5A2F">
              <w:rPr>
                <w:b/>
                <w:bCs/>
                <w:color w:val="002060"/>
                <w:sz w:val="24"/>
                <w:szCs w:val="24"/>
              </w:rPr>
              <w:t>Who can assess for difficulties with mathematics and what training/ qualifications will they need?</w:t>
            </w:r>
          </w:p>
          <w:p w14:paraId="26E057FC" w14:textId="284EEDA0" w:rsidR="00D623FF" w:rsidRPr="007E5A2F" w:rsidRDefault="00D623FF" w:rsidP="00F2586E">
            <w:pPr>
              <w:spacing w:line="276" w:lineRule="auto"/>
              <w:rPr>
                <w:b/>
                <w:bCs/>
                <w:color w:val="002060"/>
                <w:sz w:val="24"/>
                <w:szCs w:val="24"/>
              </w:rPr>
            </w:pPr>
            <w:r w:rsidRPr="007E5A2F">
              <w:rPr>
                <w:color w:val="002060"/>
                <w:sz w:val="24"/>
                <w:szCs w:val="24"/>
              </w:rPr>
              <w:t>Assessors should have the knowledge and expertise in mathematics that is necessary to be able to perform the range of investigations listed in “What should be included in an assessment of difficulties with mathematics?” (see below). This does not mean that one needs to have a degree in mathematics to assess mathematics, but in order to assess mathematics skills within a diagnostic assessment, assessors should have</w:t>
            </w:r>
            <w:r w:rsidR="00F2586E">
              <w:rPr>
                <w:color w:val="002060"/>
                <w:sz w:val="24"/>
                <w:szCs w:val="24"/>
              </w:rPr>
              <w:t xml:space="preserve"> </w:t>
            </w:r>
            <w:r w:rsidRPr="007E5A2F">
              <w:rPr>
                <w:color w:val="002060"/>
                <w:sz w:val="24"/>
                <w:szCs w:val="24"/>
              </w:rPr>
              <w:t>knowledge and training from both a) and b) categories below:</w:t>
            </w:r>
          </w:p>
        </w:tc>
      </w:tr>
      <w:tr w:rsidR="000B59B2" w:rsidRPr="007E5A2F" w14:paraId="1B27A171" w14:textId="77777777" w:rsidTr="0097440C">
        <w:tc>
          <w:tcPr>
            <w:tcW w:w="2895" w:type="pct"/>
          </w:tcPr>
          <w:p w14:paraId="2F911278" w14:textId="77777777" w:rsidR="008505C6" w:rsidRPr="007E5A2F" w:rsidRDefault="008505C6" w:rsidP="008505C6">
            <w:pPr>
              <w:spacing w:line="276" w:lineRule="auto"/>
              <w:rPr>
                <w:color w:val="002060"/>
                <w:sz w:val="24"/>
                <w:szCs w:val="24"/>
                <w:u w:val="single"/>
              </w:rPr>
            </w:pPr>
            <w:r w:rsidRPr="007E5A2F">
              <w:rPr>
                <w:color w:val="002060"/>
                <w:sz w:val="24"/>
                <w:szCs w:val="24"/>
              </w:rPr>
              <w:t xml:space="preserve">a) </w:t>
            </w:r>
            <w:r w:rsidRPr="007E5A2F">
              <w:rPr>
                <w:color w:val="002060"/>
                <w:sz w:val="24"/>
                <w:szCs w:val="24"/>
                <w:u w:val="single"/>
              </w:rPr>
              <w:t>Knowledge and experience of holistic diagnostic assessment</w:t>
            </w:r>
          </w:p>
          <w:p w14:paraId="067045EB" w14:textId="77777777" w:rsidR="008505C6" w:rsidRPr="007E5A2F" w:rsidRDefault="008505C6" w:rsidP="008505C6">
            <w:pPr>
              <w:pStyle w:val="ListParagraph"/>
              <w:numPr>
                <w:ilvl w:val="0"/>
                <w:numId w:val="5"/>
              </w:numPr>
              <w:spacing w:line="276" w:lineRule="auto"/>
              <w:rPr>
                <w:color w:val="002060"/>
                <w:sz w:val="24"/>
                <w:szCs w:val="24"/>
              </w:rPr>
            </w:pPr>
            <w:r w:rsidRPr="007E5A2F">
              <w:rPr>
                <w:color w:val="002060"/>
                <w:sz w:val="24"/>
                <w:szCs w:val="24"/>
              </w:rPr>
              <w:t>Training in, and knowledge and experience of the process of performing a holistic diagnostic assessment which synthesises and evaluates qualitative and quantitative evidence gathered from detailed history-taking, psychometric testing, observation and error analysis.</w:t>
            </w:r>
          </w:p>
          <w:p w14:paraId="0560BE1F" w14:textId="250D5D1C" w:rsidR="008505C6" w:rsidRPr="007E5A2F" w:rsidRDefault="008505C6" w:rsidP="008505C6">
            <w:pPr>
              <w:pStyle w:val="ListParagraph"/>
              <w:numPr>
                <w:ilvl w:val="0"/>
                <w:numId w:val="5"/>
              </w:numPr>
              <w:spacing w:line="276" w:lineRule="auto"/>
              <w:rPr>
                <w:color w:val="002060"/>
                <w:sz w:val="24"/>
                <w:szCs w:val="24"/>
              </w:rPr>
            </w:pPr>
            <w:r w:rsidRPr="007E5A2F">
              <w:rPr>
                <w:color w:val="002060"/>
                <w:sz w:val="24"/>
                <w:szCs w:val="24"/>
              </w:rPr>
              <w:t>Training in, and/or experience of, applying this knowledge to the assessment of mathematics.</w:t>
            </w:r>
          </w:p>
          <w:p w14:paraId="6B6A6913" w14:textId="77777777" w:rsidR="008505C6" w:rsidRPr="007E5A2F" w:rsidRDefault="008505C6" w:rsidP="008505C6">
            <w:pPr>
              <w:spacing w:line="276" w:lineRule="auto"/>
              <w:rPr>
                <w:color w:val="002060"/>
                <w:sz w:val="24"/>
                <w:szCs w:val="24"/>
              </w:rPr>
            </w:pPr>
            <w:r w:rsidRPr="007E5A2F">
              <w:rPr>
                <w:color w:val="002060"/>
                <w:sz w:val="24"/>
                <w:szCs w:val="24"/>
              </w:rPr>
              <w:t>This knowledge and experience can be acquired through:</w:t>
            </w:r>
          </w:p>
          <w:p w14:paraId="4344F0F5" w14:textId="0AA80BC4" w:rsidR="008505C6" w:rsidRPr="007E5A2F" w:rsidRDefault="008505C6" w:rsidP="008505C6">
            <w:pPr>
              <w:pStyle w:val="ListParagraph"/>
              <w:numPr>
                <w:ilvl w:val="0"/>
                <w:numId w:val="6"/>
              </w:numPr>
              <w:spacing w:line="276" w:lineRule="auto"/>
              <w:rPr>
                <w:color w:val="002060"/>
                <w:sz w:val="24"/>
                <w:szCs w:val="24"/>
              </w:rPr>
            </w:pPr>
            <w:r w:rsidRPr="007E5A2F">
              <w:rPr>
                <w:color w:val="002060"/>
                <w:sz w:val="24"/>
                <w:szCs w:val="24"/>
              </w:rPr>
              <w:t xml:space="preserve">A Level 7 qualification which explicitly trains and assesses the assessor in the full process of diagnostic assessment, including extensive coverage of diagnosing difficulties with mathematics or </w:t>
            </w:r>
            <w:r w:rsidRPr="007E5A2F">
              <w:rPr>
                <w:color w:val="002060"/>
                <w:sz w:val="24"/>
                <w:szCs w:val="24"/>
              </w:rPr>
              <w:lastRenderedPageBreak/>
              <w:t>mathematical cognition (for example a Masters in Psychology, or a Level 7/PG Dip qualification in SpLD Assessment).</w:t>
            </w:r>
          </w:p>
          <w:p w14:paraId="6BDC4FBA" w14:textId="77777777" w:rsidR="000B59B2" w:rsidRDefault="00C741A8" w:rsidP="00C741A8">
            <w:pPr>
              <w:pStyle w:val="ListParagraph"/>
              <w:numPr>
                <w:ilvl w:val="0"/>
                <w:numId w:val="6"/>
              </w:numPr>
              <w:spacing w:line="276" w:lineRule="auto"/>
              <w:rPr>
                <w:color w:val="002060"/>
                <w:sz w:val="24"/>
                <w:szCs w:val="24"/>
              </w:rPr>
            </w:pPr>
            <w:r w:rsidRPr="007E5A2F">
              <w:rPr>
                <w:color w:val="002060"/>
                <w:sz w:val="24"/>
                <w:szCs w:val="24"/>
              </w:rPr>
              <w:t xml:space="preserve">If </w:t>
            </w:r>
            <w:r w:rsidR="008505C6" w:rsidRPr="007E5A2F">
              <w:rPr>
                <w:color w:val="002060"/>
                <w:sz w:val="24"/>
                <w:szCs w:val="24"/>
              </w:rPr>
              <w:t>the assessor’s original Level 7 assessment qualification did not cover</w:t>
            </w:r>
            <w:r w:rsidRPr="007E5A2F">
              <w:rPr>
                <w:color w:val="002060"/>
                <w:sz w:val="24"/>
                <w:szCs w:val="24"/>
              </w:rPr>
              <w:t xml:space="preserve"> </w:t>
            </w:r>
            <w:r w:rsidR="008505C6" w:rsidRPr="007E5A2F">
              <w:rPr>
                <w:color w:val="002060"/>
                <w:sz w:val="24"/>
                <w:szCs w:val="24"/>
              </w:rPr>
              <w:t>mathematics explicitly and extensively, it is expected that a top-up Level 7</w:t>
            </w:r>
            <w:r w:rsidRPr="007E5A2F">
              <w:rPr>
                <w:color w:val="002060"/>
                <w:sz w:val="24"/>
                <w:szCs w:val="24"/>
              </w:rPr>
              <w:t xml:space="preserve"> </w:t>
            </w:r>
            <w:r w:rsidR="008505C6" w:rsidRPr="007E5A2F">
              <w:rPr>
                <w:color w:val="002060"/>
                <w:sz w:val="24"/>
                <w:szCs w:val="24"/>
              </w:rPr>
              <w:t>course in mathematics and dyscalculia will be undertaken (60 credits plus 20</w:t>
            </w:r>
            <w:r w:rsidRPr="007E5A2F">
              <w:rPr>
                <w:color w:val="002060"/>
                <w:sz w:val="24"/>
                <w:szCs w:val="24"/>
              </w:rPr>
              <w:t xml:space="preserve"> </w:t>
            </w:r>
            <w:r w:rsidR="008505C6" w:rsidRPr="007E5A2F">
              <w:rPr>
                <w:color w:val="002060"/>
                <w:sz w:val="24"/>
                <w:szCs w:val="24"/>
              </w:rPr>
              <w:t>hours experience of mathematics teaching) unless the assessor has</w:t>
            </w:r>
            <w:r w:rsidRPr="007E5A2F">
              <w:rPr>
                <w:color w:val="002060"/>
                <w:sz w:val="24"/>
                <w:szCs w:val="24"/>
              </w:rPr>
              <w:t xml:space="preserve"> </w:t>
            </w:r>
            <w:r w:rsidR="008505C6" w:rsidRPr="007E5A2F">
              <w:rPr>
                <w:color w:val="002060"/>
                <w:sz w:val="24"/>
                <w:szCs w:val="24"/>
              </w:rPr>
              <w:t>acquired the required skills and knowledge through extensive CPD training,</w:t>
            </w:r>
            <w:r w:rsidRPr="007E5A2F">
              <w:rPr>
                <w:color w:val="002060"/>
                <w:sz w:val="24"/>
                <w:szCs w:val="24"/>
              </w:rPr>
              <w:t xml:space="preserve"> </w:t>
            </w:r>
            <w:r w:rsidR="008505C6" w:rsidRPr="007E5A2F">
              <w:rPr>
                <w:color w:val="002060"/>
                <w:sz w:val="24"/>
                <w:szCs w:val="24"/>
              </w:rPr>
              <w:t>mentoring, personal research and experience and can demonstrate</w:t>
            </w:r>
            <w:r w:rsidRPr="007E5A2F">
              <w:rPr>
                <w:color w:val="002060"/>
                <w:sz w:val="24"/>
                <w:szCs w:val="24"/>
              </w:rPr>
              <w:t xml:space="preserve"> </w:t>
            </w:r>
            <w:r w:rsidR="008505C6" w:rsidRPr="007E5A2F">
              <w:rPr>
                <w:color w:val="002060"/>
                <w:sz w:val="24"/>
                <w:szCs w:val="24"/>
              </w:rPr>
              <w:t>competence in applying that knowledge to diagnostic assessments of</w:t>
            </w:r>
            <w:r w:rsidRPr="007E5A2F">
              <w:rPr>
                <w:color w:val="002060"/>
                <w:sz w:val="24"/>
                <w:szCs w:val="24"/>
              </w:rPr>
              <w:t xml:space="preserve"> </w:t>
            </w:r>
            <w:r w:rsidR="008505C6" w:rsidRPr="007E5A2F">
              <w:rPr>
                <w:color w:val="002060"/>
                <w:sz w:val="24"/>
                <w:szCs w:val="24"/>
              </w:rPr>
              <w:t>mathematics or mathematical cognition.</w:t>
            </w:r>
          </w:p>
          <w:p w14:paraId="0C859E29" w14:textId="1264CAAA" w:rsidR="00F25BF2" w:rsidRPr="007E5A2F" w:rsidRDefault="00F25BF2" w:rsidP="00F25BF2">
            <w:pPr>
              <w:pStyle w:val="ListParagraph"/>
              <w:spacing w:line="276" w:lineRule="auto"/>
              <w:rPr>
                <w:color w:val="002060"/>
                <w:sz w:val="24"/>
                <w:szCs w:val="24"/>
              </w:rPr>
            </w:pPr>
          </w:p>
        </w:tc>
        <w:tc>
          <w:tcPr>
            <w:tcW w:w="2105" w:type="pct"/>
          </w:tcPr>
          <w:p w14:paraId="1B86BDAF" w14:textId="77777777" w:rsidR="000B59B2" w:rsidRPr="007E5A2F" w:rsidRDefault="000B59B2" w:rsidP="000B59B2">
            <w:pPr>
              <w:spacing w:line="276" w:lineRule="auto"/>
              <w:rPr>
                <w:color w:val="002060"/>
                <w:sz w:val="24"/>
                <w:szCs w:val="24"/>
              </w:rPr>
            </w:pPr>
          </w:p>
        </w:tc>
      </w:tr>
      <w:tr w:rsidR="000B59B2" w:rsidRPr="007E5A2F" w14:paraId="28A4EA66" w14:textId="77777777" w:rsidTr="0097440C">
        <w:tc>
          <w:tcPr>
            <w:tcW w:w="2895" w:type="pct"/>
          </w:tcPr>
          <w:p w14:paraId="03E78460" w14:textId="77777777" w:rsidR="003543B6" w:rsidRPr="007E5A2F" w:rsidRDefault="003543B6" w:rsidP="003543B6">
            <w:pPr>
              <w:spacing w:line="276" w:lineRule="auto"/>
              <w:rPr>
                <w:color w:val="002060"/>
                <w:sz w:val="24"/>
                <w:szCs w:val="24"/>
                <w:u w:val="single"/>
              </w:rPr>
            </w:pPr>
            <w:r w:rsidRPr="007E5A2F">
              <w:rPr>
                <w:color w:val="002060"/>
                <w:sz w:val="24"/>
                <w:szCs w:val="24"/>
                <w:u w:val="single"/>
              </w:rPr>
              <w:t>Knowledge of mathematical skills development including:</w:t>
            </w:r>
          </w:p>
          <w:p w14:paraId="77417D00" w14:textId="77777777" w:rsidR="003543B6" w:rsidRPr="007E5A2F" w:rsidRDefault="003543B6" w:rsidP="003543B6">
            <w:pPr>
              <w:pStyle w:val="ListParagraph"/>
              <w:numPr>
                <w:ilvl w:val="0"/>
                <w:numId w:val="7"/>
              </w:numPr>
              <w:spacing w:line="276" w:lineRule="auto"/>
              <w:rPr>
                <w:color w:val="002060"/>
                <w:sz w:val="24"/>
                <w:szCs w:val="24"/>
              </w:rPr>
            </w:pPr>
            <w:r w:rsidRPr="007E5A2F">
              <w:rPr>
                <w:color w:val="002060"/>
                <w:sz w:val="24"/>
                <w:szCs w:val="24"/>
              </w:rPr>
              <w:t>The impact that domain specific and domain general deficits may have upon learning and performance in mathematics in education, the workplace and everyday life.</w:t>
            </w:r>
          </w:p>
          <w:p w14:paraId="578DE94A" w14:textId="73D485B9" w:rsidR="003543B6" w:rsidRPr="007E5A2F" w:rsidRDefault="003543B6" w:rsidP="003543B6">
            <w:pPr>
              <w:pStyle w:val="ListParagraph"/>
              <w:numPr>
                <w:ilvl w:val="0"/>
                <w:numId w:val="7"/>
              </w:numPr>
              <w:spacing w:line="276" w:lineRule="auto"/>
              <w:rPr>
                <w:color w:val="002060"/>
                <w:sz w:val="24"/>
                <w:szCs w:val="24"/>
              </w:rPr>
            </w:pPr>
            <w:r w:rsidRPr="007E5A2F">
              <w:rPr>
                <w:color w:val="002060"/>
                <w:sz w:val="24"/>
                <w:szCs w:val="24"/>
              </w:rPr>
              <w:t>The range of strategies and procedures an individual might use to perform calculations and solve mathematical problems at the individual’s current level of mathematics experience and training. An understanding of which strategies and procedures are least/most efficient and effective in different situations.</w:t>
            </w:r>
          </w:p>
          <w:p w14:paraId="6D2CC669" w14:textId="77777777" w:rsidR="003543B6" w:rsidRPr="007E5A2F" w:rsidRDefault="003543B6" w:rsidP="003543B6">
            <w:pPr>
              <w:pStyle w:val="ListParagraph"/>
              <w:numPr>
                <w:ilvl w:val="0"/>
                <w:numId w:val="7"/>
              </w:numPr>
              <w:spacing w:line="276" w:lineRule="auto"/>
              <w:rPr>
                <w:color w:val="002060"/>
                <w:sz w:val="24"/>
                <w:szCs w:val="24"/>
              </w:rPr>
            </w:pPr>
            <w:r w:rsidRPr="007E5A2F">
              <w:rPr>
                <w:color w:val="002060"/>
                <w:sz w:val="24"/>
                <w:szCs w:val="24"/>
              </w:rPr>
              <w:t>The stages and processes by which mathematics skills are developed and the normal range of variation that might be expected for the individual’s age and/or level of mathematics education.</w:t>
            </w:r>
          </w:p>
          <w:p w14:paraId="2D419BE5" w14:textId="77777777" w:rsidR="003543B6" w:rsidRPr="007E5A2F" w:rsidRDefault="003543B6" w:rsidP="003543B6">
            <w:pPr>
              <w:pStyle w:val="ListParagraph"/>
              <w:numPr>
                <w:ilvl w:val="0"/>
                <w:numId w:val="7"/>
              </w:numPr>
              <w:spacing w:line="276" w:lineRule="auto"/>
              <w:rPr>
                <w:color w:val="002060"/>
                <w:sz w:val="24"/>
                <w:szCs w:val="24"/>
              </w:rPr>
            </w:pPr>
            <w:r w:rsidRPr="007E5A2F">
              <w:rPr>
                <w:color w:val="002060"/>
                <w:sz w:val="24"/>
                <w:szCs w:val="24"/>
              </w:rPr>
              <w:t>Typical error patterns for individuals who are struggling with particular aspects of mathematics.</w:t>
            </w:r>
          </w:p>
          <w:p w14:paraId="1694AB9D" w14:textId="165E99DE" w:rsidR="003543B6" w:rsidRPr="007E5A2F" w:rsidRDefault="003543B6" w:rsidP="003543B6">
            <w:pPr>
              <w:pStyle w:val="ListParagraph"/>
              <w:numPr>
                <w:ilvl w:val="0"/>
                <w:numId w:val="7"/>
              </w:numPr>
              <w:spacing w:line="276" w:lineRule="auto"/>
              <w:rPr>
                <w:color w:val="002060"/>
                <w:sz w:val="24"/>
                <w:szCs w:val="24"/>
              </w:rPr>
            </w:pPr>
            <w:r w:rsidRPr="007E5A2F">
              <w:rPr>
                <w:color w:val="002060"/>
                <w:sz w:val="24"/>
                <w:szCs w:val="24"/>
              </w:rPr>
              <w:lastRenderedPageBreak/>
              <w:t>The impact that mathematics anxiety may have upon learning and</w:t>
            </w:r>
            <w:r w:rsidR="008F1E61" w:rsidRPr="007E5A2F">
              <w:rPr>
                <w:color w:val="002060"/>
                <w:sz w:val="24"/>
                <w:szCs w:val="24"/>
              </w:rPr>
              <w:t xml:space="preserve"> </w:t>
            </w:r>
            <w:r w:rsidRPr="007E5A2F">
              <w:rPr>
                <w:color w:val="002060"/>
                <w:sz w:val="24"/>
                <w:szCs w:val="24"/>
              </w:rPr>
              <w:t>performance in mathematics.</w:t>
            </w:r>
          </w:p>
          <w:p w14:paraId="608863A0" w14:textId="77777777" w:rsidR="003543B6" w:rsidRPr="007E5A2F" w:rsidRDefault="003543B6" w:rsidP="003543B6">
            <w:pPr>
              <w:spacing w:line="276" w:lineRule="auto"/>
              <w:rPr>
                <w:color w:val="002060"/>
                <w:sz w:val="24"/>
                <w:szCs w:val="24"/>
              </w:rPr>
            </w:pPr>
            <w:r w:rsidRPr="007E5A2F">
              <w:rPr>
                <w:color w:val="002060"/>
                <w:sz w:val="24"/>
                <w:szCs w:val="24"/>
              </w:rPr>
              <w:t>This knowledge can be acquired through:</w:t>
            </w:r>
          </w:p>
          <w:p w14:paraId="286807C7" w14:textId="77777777" w:rsidR="003543B6" w:rsidRPr="007E5A2F" w:rsidRDefault="003543B6" w:rsidP="003543B6">
            <w:pPr>
              <w:pStyle w:val="ListParagraph"/>
              <w:numPr>
                <w:ilvl w:val="0"/>
                <w:numId w:val="8"/>
              </w:numPr>
              <w:spacing w:line="276" w:lineRule="auto"/>
              <w:rPr>
                <w:color w:val="002060"/>
                <w:sz w:val="24"/>
                <w:szCs w:val="24"/>
              </w:rPr>
            </w:pPr>
            <w:r w:rsidRPr="007E5A2F">
              <w:rPr>
                <w:color w:val="002060"/>
                <w:sz w:val="24"/>
                <w:szCs w:val="24"/>
              </w:rPr>
              <w:t>Experience of teaching mathematics skills (for example: as a Primary Teacher, a QTS teacher, SpLD Tutor, Basic/Functional Skills Tutor, Mathematics Teacher);</w:t>
            </w:r>
          </w:p>
          <w:p w14:paraId="4CCA3CF5" w14:textId="77777777" w:rsidR="000B59B2" w:rsidRDefault="003543B6" w:rsidP="003543B6">
            <w:pPr>
              <w:pStyle w:val="ListParagraph"/>
              <w:numPr>
                <w:ilvl w:val="0"/>
                <w:numId w:val="8"/>
              </w:numPr>
              <w:spacing w:line="276" w:lineRule="auto"/>
              <w:rPr>
                <w:color w:val="002060"/>
                <w:sz w:val="24"/>
                <w:szCs w:val="24"/>
              </w:rPr>
            </w:pPr>
            <w:r w:rsidRPr="007E5A2F">
              <w:rPr>
                <w:color w:val="002060"/>
                <w:sz w:val="24"/>
                <w:szCs w:val="24"/>
              </w:rPr>
              <w:t>And/or a Bachelor Degree or Postgraduate qualification which explicitly and extensively covers how maths skills and/or maths cognition develop (for example: a BEd or PGCE in a mathematics related subject; a BA/BSc or Masters in Psychology which includes extensive coverage of mathematics and/or mathematical cognition; a postgraduate qualification in SpLD Tutoring which includes extensive coverage of maths difficulties within SpLDs) and subsequent professional practice and CPD.</w:t>
            </w:r>
          </w:p>
          <w:p w14:paraId="5A692EBC" w14:textId="77D0AF24" w:rsidR="00F25BF2" w:rsidRPr="007E5A2F" w:rsidRDefault="00F25BF2" w:rsidP="00F25BF2">
            <w:pPr>
              <w:pStyle w:val="ListParagraph"/>
              <w:spacing w:line="276" w:lineRule="auto"/>
              <w:rPr>
                <w:color w:val="002060"/>
                <w:sz w:val="24"/>
                <w:szCs w:val="24"/>
              </w:rPr>
            </w:pPr>
          </w:p>
        </w:tc>
        <w:tc>
          <w:tcPr>
            <w:tcW w:w="2105" w:type="pct"/>
          </w:tcPr>
          <w:p w14:paraId="0933F0AE" w14:textId="77777777" w:rsidR="000B59B2" w:rsidRPr="007E5A2F" w:rsidRDefault="000B59B2" w:rsidP="000B59B2">
            <w:pPr>
              <w:spacing w:line="276" w:lineRule="auto"/>
              <w:rPr>
                <w:color w:val="002060"/>
                <w:sz w:val="24"/>
                <w:szCs w:val="24"/>
              </w:rPr>
            </w:pPr>
          </w:p>
        </w:tc>
      </w:tr>
      <w:tr w:rsidR="000B59B2" w:rsidRPr="007E5A2F" w14:paraId="28E78279" w14:textId="77777777" w:rsidTr="008F1E61">
        <w:tc>
          <w:tcPr>
            <w:tcW w:w="5000" w:type="pct"/>
            <w:gridSpan w:val="2"/>
            <w:shd w:val="clear" w:color="auto" w:fill="FFFF00"/>
          </w:tcPr>
          <w:p w14:paraId="32EFA1A3" w14:textId="77777777" w:rsidR="00DB0578" w:rsidRPr="007E5A2F" w:rsidRDefault="00DB0578" w:rsidP="00DB0578">
            <w:pPr>
              <w:spacing w:line="276" w:lineRule="auto"/>
              <w:jc w:val="center"/>
              <w:rPr>
                <w:b/>
                <w:bCs/>
                <w:color w:val="002060"/>
                <w:sz w:val="24"/>
                <w:szCs w:val="24"/>
              </w:rPr>
            </w:pPr>
            <w:r w:rsidRPr="007E5A2F">
              <w:rPr>
                <w:b/>
                <w:bCs/>
                <w:color w:val="002060"/>
                <w:sz w:val="24"/>
                <w:szCs w:val="24"/>
              </w:rPr>
              <w:t>What should be included in an assessment of difficulties with mathematics?</w:t>
            </w:r>
          </w:p>
          <w:p w14:paraId="77D45C58" w14:textId="00009F65" w:rsidR="000B59B2" w:rsidRPr="007E5A2F" w:rsidRDefault="000B59B2" w:rsidP="00DB0578">
            <w:pPr>
              <w:spacing w:line="276" w:lineRule="auto"/>
              <w:rPr>
                <w:color w:val="002060"/>
                <w:sz w:val="24"/>
                <w:szCs w:val="24"/>
              </w:rPr>
            </w:pPr>
            <w:r w:rsidRPr="007E5A2F">
              <w:rPr>
                <w:color w:val="002060"/>
                <w:sz w:val="24"/>
                <w:szCs w:val="24"/>
              </w:rPr>
              <w:t>Diagnostic assessment of difficulties in mathematics should form part of a holistic assessment designed to explore the full range of SpLDs and cognitive, medical and environmental factors that may be contributing to difficulties with learning. As such they should include the following:</w:t>
            </w:r>
          </w:p>
        </w:tc>
      </w:tr>
      <w:tr w:rsidR="000B59B2" w:rsidRPr="007E5A2F" w14:paraId="0E4D3772" w14:textId="77777777" w:rsidTr="0097440C">
        <w:tc>
          <w:tcPr>
            <w:tcW w:w="2895" w:type="pct"/>
          </w:tcPr>
          <w:p w14:paraId="67186387" w14:textId="4D48F9C6" w:rsidR="000B59B2" w:rsidRPr="007E5A2F" w:rsidRDefault="000B59B2" w:rsidP="000B59B2">
            <w:pPr>
              <w:pStyle w:val="ListParagraph"/>
              <w:spacing w:line="276" w:lineRule="auto"/>
              <w:ind w:left="32"/>
              <w:rPr>
                <w:color w:val="002060"/>
                <w:sz w:val="24"/>
                <w:szCs w:val="24"/>
              </w:rPr>
            </w:pPr>
            <w:r w:rsidRPr="007E5A2F">
              <w:rPr>
                <w:color w:val="002060"/>
                <w:sz w:val="24"/>
                <w:szCs w:val="24"/>
              </w:rPr>
              <w:t>1. A framework for a thorough and appropriate history taking which covers mathematics, literacy and wider barriers to learning.</w:t>
            </w:r>
          </w:p>
          <w:p w14:paraId="235C34D5" w14:textId="6754704B" w:rsidR="000B59B2" w:rsidRPr="007E5A2F" w:rsidRDefault="000B59B2" w:rsidP="000B59B2">
            <w:pPr>
              <w:spacing w:line="276" w:lineRule="auto"/>
              <w:rPr>
                <w:color w:val="002060"/>
                <w:sz w:val="24"/>
                <w:szCs w:val="24"/>
              </w:rPr>
            </w:pPr>
          </w:p>
        </w:tc>
        <w:tc>
          <w:tcPr>
            <w:tcW w:w="2105" w:type="pct"/>
          </w:tcPr>
          <w:p w14:paraId="3E20E064" w14:textId="77777777" w:rsidR="000B59B2" w:rsidRPr="007E5A2F" w:rsidRDefault="000B59B2" w:rsidP="000B59B2">
            <w:pPr>
              <w:spacing w:line="276" w:lineRule="auto"/>
              <w:rPr>
                <w:color w:val="002060"/>
                <w:sz w:val="24"/>
                <w:szCs w:val="24"/>
              </w:rPr>
            </w:pPr>
          </w:p>
        </w:tc>
      </w:tr>
      <w:tr w:rsidR="000B59B2" w:rsidRPr="007E5A2F" w14:paraId="36E8C937" w14:textId="77777777" w:rsidTr="0097440C">
        <w:tc>
          <w:tcPr>
            <w:tcW w:w="2895" w:type="pct"/>
          </w:tcPr>
          <w:p w14:paraId="4B4DAE40" w14:textId="482CEA6A" w:rsidR="000B59B2" w:rsidRPr="007E5A2F" w:rsidRDefault="000B59B2" w:rsidP="00F25BF2">
            <w:pPr>
              <w:spacing w:line="276" w:lineRule="auto"/>
              <w:rPr>
                <w:color w:val="002060"/>
                <w:sz w:val="24"/>
                <w:szCs w:val="24"/>
              </w:rPr>
            </w:pPr>
            <w:r w:rsidRPr="007E5A2F">
              <w:rPr>
                <w:color w:val="002060"/>
                <w:sz w:val="24"/>
                <w:szCs w:val="24"/>
              </w:rPr>
              <w:t>2. Tests of verbal, visual and visual-spatial reasoning and cognitive processing (such as memory, phonological processing, processing speed and accuracy, visual spatial sequential skills) in order to identify domain general strengths and weaknesses within the cognitive profile.</w:t>
            </w:r>
          </w:p>
        </w:tc>
        <w:tc>
          <w:tcPr>
            <w:tcW w:w="2105" w:type="pct"/>
          </w:tcPr>
          <w:p w14:paraId="12D2AAA2" w14:textId="77777777" w:rsidR="000B59B2" w:rsidRPr="007E5A2F" w:rsidRDefault="000B59B2" w:rsidP="000B59B2">
            <w:pPr>
              <w:spacing w:line="276" w:lineRule="auto"/>
              <w:rPr>
                <w:color w:val="002060"/>
                <w:sz w:val="24"/>
                <w:szCs w:val="24"/>
              </w:rPr>
            </w:pPr>
          </w:p>
        </w:tc>
      </w:tr>
      <w:tr w:rsidR="000B59B2" w:rsidRPr="007E5A2F" w14:paraId="20AC8EBF" w14:textId="77777777" w:rsidTr="0097440C">
        <w:tc>
          <w:tcPr>
            <w:tcW w:w="2895" w:type="pct"/>
          </w:tcPr>
          <w:p w14:paraId="71C113EC" w14:textId="0B72FA3B" w:rsidR="000B59B2" w:rsidRPr="007E5A2F" w:rsidRDefault="000B59B2" w:rsidP="000B59B2">
            <w:pPr>
              <w:spacing w:line="276" w:lineRule="auto"/>
              <w:rPr>
                <w:color w:val="002060"/>
                <w:sz w:val="24"/>
                <w:szCs w:val="24"/>
              </w:rPr>
            </w:pPr>
            <w:r w:rsidRPr="007E5A2F">
              <w:rPr>
                <w:color w:val="002060"/>
                <w:sz w:val="24"/>
                <w:szCs w:val="24"/>
              </w:rPr>
              <w:lastRenderedPageBreak/>
              <w:t>3. Tests of literacy and mathematics skills in order to identify strengths and weaknesses within the attainment profile.</w:t>
            </w:r>
          </w:p>
          <w:p w14:paraId="1B7C1DF2" w14:textId="77777777" w:rsidR="000B59B2" w:rsidRPr="007E5A2F" w:rsidRDefault="000B59B2" w:rsidP="000B59B2">
            <w:pPr>
              <w:spacing w:line="276" w:lineRule="auto"/>
              <w:rPr>
                <w:color w:val="002060"/>
                <w:sz w:val="24"/>
                <w:szCs w:val="24"/>
              </w:rPr>
            </w:pPr>
          </w:p>
        </w:tc>
        <w:tc>
          <w:tcPr>
            <w:tcW w:w="2105" w:type="pct"/>
          </w:tcPr>
          <w:p w14:paraId="1C5C6C1E" w14:textId="77777777" w:rsidR="000B59B2" w:rsidRPr="007E5A2F" w:rsidRDefault="000B59B2" w:rsidP="000B59B2">
            <w:pPr>
              <w:spacing w:line="276" w:lineRule="auto"/>
              <w:rPr>
                <w:color w:val="002060"/>
                <w:sz w:val="24"/>
                <w:szCs w:val="24"/>
              </w:rPr>
            </w:pPr>
          </w:p>
        </w:tc>
      </w:tr>
      <w:tr w:rsidR="000B59B2" w:rsidRPr="007E5A2F" w14:paraId="7898AA0F" w14:textId="77777777" w:rsidTr="0097440C">
        <w:tc>
          <w:tcPr>
            <w:tcW w:w="2895" w:type="pct"/>
          </w:tcPr>
          <w:p w14:paraId="136DFF92" w14:textId="77777777" w:rsidR="000B59B2" w:rsidRDefault="000B59B2" w:rsidP="000B59B2">
            <w:pPr>
              <w:spacing w:line="276" w:lineRule="auto"/>
              <w:rPr>
                <w:color w:val="002060"/>
                <w:sz w:val="24"/>
                <w:szCs w:val="24"/>
              </w:rPr>
            </w:pPr>
            <w:r w:rsidRPr="007E5A2F">
              <w:rPr>
                <w:color w:val="002060"/>
                <w:sz w:val="24"/>
                <w:szCs w:val="24"/>
              </w:rPr>
              <w:t>4. Informal, qualitative tests of understanding of number that use subitising, symbolic and non-symbolic magnitude comparison, ordering and concrete tools to explore concept of number. This could include screeners designed to explore number sense.</w:t>
            </w:r>
          </w:p>
          <w:p w14:paraId="58EE7A7A" w14:textId="7F134CD9" w:rsidR="006D7083" w:rsidRPr="007E5A2F" w:rsidRDefault="006D7083" w:rsidP="000B59B2">
            <w:pPr>
              <w:spacing w:line="276" w:lineRule="auto"/>
              <w:rPr>
                <w:color w:val="002060"/>
                <w:sz w:val="24"/>
                <w:szCs w:val="24"/>
              </w:rPr>
            </w:pPr>
          </w:p>
        </w:tc>
        <w:tc>
          <w:tcPr>
            <w:tcW w:w="2105" w:type="pct"/>
          </w:tcPr>
          <w:p w14:paraId="013C125A" w14:textId="77777777" w:rsidR="000B59B2" w:rsidRPr="007E5A2F" w:rsidRDefault="000B59B2" w:rsidP="000B59B2">
            <w:pPr>
              <w:spacing w:line="276" w:lineRule="auto"/>
              <w:rPr>
                <w:color w:val="002060"/>
                <w:sz w:val="24"/>
                <w:szCs w:val="24"/>
              </w:rPr>
            </w:pPr>
          </w:p>
        </w:tc>
      </w:tr>
      <w:tr w:rsidR="000B59B2" w:rsidRPr="007E5A2F" w14:paraId="36F93D57" w14:textId="77777777" w:rsidTr="0097440C">
        <w:tc>
          <w:tcPr>
            <w:tcW w:w="2895" w:type="pct"/>
          </w:tcPr>
          <w:p w14:paraId="597F8CDF" w14:textId="77777777" w:rsidR="000B59B2" w:rsidRPr="007E5A2F" w:rsidRDefault="000B59B2" w:rsidP="000B59B2">
            <w:pPr>
              <w:spacing w:line="276" w:lineRule="auto"/>
              <w:rPr>
                <w:color w:val="002060"/>
                <w:sz w:val="24"/>
                <w:szCs w:val="24"/>
              </w:rPr>
            </w:pPr>
            <w:r w:rsidRPr="007E5A2F">
              <w:rPr>
                <w:color w:val="002060"/>
                <w:sz w:val="24"/>
                <w:szCs w:val="24"/>
              </w:rPr>
              <w:t>5. Standardised measures of</w:t>
            </w:r>
          </w:p>
          <w:p w14:paraId="61CA49C9" w14:textId="15BDE019" w:rsidR="000B59B2" w:rsidRPr="007E5A2F" w:rsidRDefault="000B59B2" w:rsidP="000B59B2">
            <w:pPr>
              <w:pStyle w:val="ListParagraph"/>
              <w:numPr>
                <w:ilvl w:val="0"/>
                <w:numId w:val="2"/>
              </w:numPr>
              <w:spacing w:line="276" w:lineRule="auto"/>
              <w:rPr>
                <w:color w:val="002060"/>
                <w:sz w:val="24"/>
                <w:szCs w:val="24"/>
              </w:rPr>
            </w:pPr>
            <w:r w:rsidRPr="007E5A2F">
              <w:rPr>
                <w:color w:val="002060"/>
                <w:sz w:val="24"/>
                <w:szCs w:val="24"/>
              </w:rPr>
              <w:t>Arithmetic (+, -, x, ÷). Timed and untimed to establish what difference time pressure makes upon performance,</w:t>
            </w:r>
          </w:p>
          <w:p w14:paraId="4FE69AE0" w14:textId="2FE5F340" w:rsidR="000B59B2" w:rsidRPr="007E5A2F" w:rsidRDefault="000B59B2" w:rsidP="000B59B2">
            <w:pPr>
              <w:pStyle w:val="ListParagraph"/>
              <w:numPr>
                <w:ilvl w:val="0"/>
                <w:numId w:val="2"/>
              </w:numPr>
              <w:spacing w:line="276" w:lineRule="auto"/>
              <w:rPr>
                <w:color w:val="002060"/>
                <w:sz w:val="24"/>
                <w:szCs w:val="24"/>
              </w:rPr>
            </w:pPr>
            <w:r w:rsidRPr="007E5A2F">
              <w:rPr>
                <w:color w:val="002060"/>
                <w:sz w:val="24"/>
                <w:szCs w:val="24"/>
              </w:rPr>
              <w:t>Mathematics reasoning and problem solving, including word problems to explore whether the difficulties are related to number, or mathematical terminology, or language more generally.</w:t>
            </w:r>
          </w:p>
          <w:p w14:paraId="13C0F777" w14:textId="77777777" w:rsidR="000B59B2" w:rsidRPr="007E5A2F" w:rsidRDefault="000B59B2" w:rsidP="000B59B2">
            <w:pPr>
              <w:spacing w:line="276" w:lineRule="auto"/>
              <w:rPr>
                <w:color w:val="002060"/>
                <w:sz w:val="24"/>
                <w:szCs w:val="24"/>
              </w:rPr>
            </w:pPr>
          </w:p>
        </w:tc>
        <w:tc>
          <w:tcPr>
            <w:tcW w:w="2105" w:type="pct"/>
          </w:tcPr>
          <w:p w14:paraId="41856ED2" w14:textId="77777777" w:rsidR="000B59B2" w:rsidRPr="007E5A2F" w:rsidRDefault="000B59B2" w:rsidP="000B59B2">
            <w:pPr>
              <w:spacing w:line="276" w:lineRule="auto"/>
              <w:rPr>
                <w:color w:val="002060"/>
                <w:sz w:val="24"/>
                <w:szCs w:val="24"/>
              </w:rPr>
            </w:pPr>
          </w:p>
        </w:tc>
      </w:tr>
      <w:tr w:rsidR="000B59B2" w:rsidRPr="007E5A2F" w14:paraId="40045381" w14:textId="77777777" w:rsidTr="0097440C">
        <w:tc>
          <w:tcPr>
            <w:tcW w:w="2895" w:type="pct"/>
          </w:tcPr>
          <w:p w14:paraId="778E9A62" w14:textId="77777777" w:rsidR="000B59B2" w:rsidRPr="007E5A2F" w:rsidRDefault="000B59B2" w:rsidP="000B59B2">
            <w:pPr>
              <w:spacing w:line="276" w:lineRule="auto"/>
              <w:rPr>
                <w:color w:val="002060"/>
                <w:sz w:val="24"/>
                <w:szCs w:val="24"/>
              </w:rPr>
            </w:pPr>
            <w:r w:rsidRPr="007E5A2F">
              <w:rPr>
                <w:color w:val="002060"/>
                <w:sz w:val="24"/>
                <w:szCs w:val="24"/>
              </w:rPr>
              <w:t>6. Qualitative analysis of performance within these tests:</w:t>
            </w:r>
          </w:p>
          <w:p w14:paraId="34C5936B" w14:textId="7DCB51CF" w:rsidR="000B59B2" w:rsidRPr="007E5A2F" w:rsidRDefault="000B59B2" w:rsidP="000B59B2">
            <w:pPr>
              <w:pStyle w:val="ListParagraph"/>
              <w:numPr>
                <w:ilvl w:val="0"/>
                <w:numId w:val="3"/>
              </w:numPr>
              <w:spacing w:line="276" w:lineRule="auto"/>
              <w:rPr>
                <w:color w:val="002060"/>
                <w:sz w:val="24"/>
                <w:szCs w:val="24"/>
              </w:rPr>
            </w:pPr>
            <w:r w:rsidRPr="007E5A2F">
              <w:rPr>
                <w:color w:val="002060"/>
                <w:sz w:val="24"/>
                <w:szCs w:val="24"/>
              </w:rPr>
              <w:t>Analysis of the individual’s pattern of errors,</w:t>
            </w:r>
          </w:p>
          <w:p w14:paraId="1AB5466A" w14:textId="4F1FC3FF" w:rsidR="000B59B2" w:rsidRPr="007E5A2F" w:rsidRDefault="000B59B2" w:rsidP="000B59B2">
            <w:pPr>
              <w:pStyle w:val="ListParagraph"/>
              <w:numPr>
                <w:ilvl w:val="0"/>
                <w:numId w:val="3"/>
              </w:numPr>
              <w:spacing w:line="276" w:lineRule="auto"/>
              <w:rPr>
                <w:color w:val="002060"/>
                <w:sz w:val="24"/>
                <w:szCs w:val="24"/>
              </w:rPr>
            </w:pPr>
            <w:r w:rsidRPr="007E5A2F">
              <w:rPr>
                <w:color w:val="002060"/>
                <w:sz w:val="24"/>
                <w:szCs w:val="24"/>
              </w:rPr>
              <w:t>Observation and questioning about strategies used,</w:t>
            </w:r>
          </w:p>
          <w:p w14:paraId="3E469795" w14:textId="78FC7BE4" w:rsidR="000B59B2" w:rsidRPr="007E5A2F" w:rsidRDefault="000B59B2" w:rsidP="000B59B2">
            <w:pPr>
              <w:pStyle w:val="ListParagraph"/>
              <w:numPr>
                <w:ilvl w:val="0"/>
                <w:numId w:val="3"/>
              </w:numPr>
              <w:spacing w:line="276" w:lineRule="auto"/>
              <w:rPr>
                <w:color w:val="002060"/>
                <w:sz w:val="24"/>
                <w:szCs w:val="24"/>
              </w:rPr>
            </w:pPr>
            <w:r w:rsidRPr="007E5A2F">
              <w:rPr>
                <w:color w:val="002060"/>
                <w:sz w:val="24"/>
                <w:szCs w:val="24"/>
              </w:rPr>
              <w:t>Observation of motivation, determination, perseverance, impulse inhibition, attention, and which tasks were avoided,</w:t>
            </w:r>
          </w:p>
          <w:p w14:paraId="3532133C" w14:textId="26A6AAC2" w:rsidR="000B59B2" w:rsidRPr="007E5A2F" w:rsidRDefault="000B59B2" w:rsidP="000B59B2">
            <w:pPr>
              <w:pStyle w:val="ListParagraph"/>
              <w:numPr>
                <w:ilvl w:val="0"/>
                <w:numId w:val="3"/>
              </w:numPr>
              <w:spacing w:line="276" w:lineRule="auto"/>
              <w:rPr>
                <w:color w:val="002060"/>
                <w:sz w:val="24"/>
                <w:szCs w:val="24"/>
              </w:rPr>
            </w:pPr>
            <w:r w:rsidRPr="007E5A2F">
              <w:rPr>
                <w:color w:val="002060"/>
                <w:sz w:val="24"/>
                <w:szCs w:val="24"/>
              </w:rPr>
              <w:t>Conceptual understanding of any standard procedures used,</w:t>
            </w:r>
          </w:p>
          <w:p w14:paraId="12B2FE49" w14:textId="207900B4" w:rsidR="000B59B2" w:rsidRPr="007E5A2F" w:rsidRDefault="000B59B2" w:rsidP="000B59B2">
            <w:pPr>
              <w:pStyle w:val="ListParagraph"/>
              <w:numPr>
                <w:ilvl w:val="0"/>
                <w:numId w:val="3"/>
              </w:numPr>
              <w:spacing w:line="276" w:lineRule="auto"/>
              <w:rPr>
                <w:color w:val="002060"/>
                <w:sz w:val="24"/>
                <w:szCs w:val="24"/>
              </w:rPr>
            </w:pPr>
            <w:r w:rsidRPr="007E5A2F">
              <w:rPr>
                <w:color w:val="002060"/>
                <w:sz w:val="24"/>
                <w:szCs w:val="24"/>
              </w:rPr>
              <w:t>Use of concrete materials and visual representations – to evaluate to what extent an individual understands basic mathematical concepts, and to explore any differences between what an individual can achieve with standard symbolic notation, and with nonstandard representational strategies (e.g. modelling, drawing).</w:t>
            </w:r>
          </w:p>
        </w:tc>
        <w:tc>
          <w:tcPr>
            <w:tcW w:w="2105" w:type="pct"/>
          </w:tcPr>
          <w:p w14:paraId="4DAB4F0C" w14:textId="77777777" w:rsidR="000B59B2" w:rsidRPr="007E5A2F" w:rsidRDefault="000B59B2" w:rsidP="000B59B2">
            <w:pPr>
              <w:spacing w:line="276" w:lineRule="auto"/>
              <w:rPr>
                <w:color w:val="002060"/>
                <w:sz w:val="24"/>
                <w:szCs w:val="24"/>
              </w:rPr>
            </w:pPr>
          </w:p>
        </w:tc>
      </w:tr>
      <w:tr w:rsidR="000B59B2" w:rsidRPr="007E5A2F" w14:paraId="33E4C1CB" w14:textId="77777777" w:rsidTr="0097440C">
        <w:tc>
          <w:tcPr>
            <w:tcW w:w="2895" w:type="pct"/>
          </w:tcPr>
          <w:p w14:paraId="2D64E116" w14:textId="05D5F47F" w:rsidR="000B59B2" w:rsidRPr="007E5A2F" w:rsidRDefault="000B59B2" w:rsidP="000B59B2">
            <w:pPr>
              <w:spacing w:line="276" w:lineRule="auto"/>
              <w:rPr>
                <w:color w:val="002060"/>
                <w:sz w:val="24"/>
                <w:szCs w:val="24"/>
              </w:rPr>
            </w:pPr>
            <w:r w:rsidRPr="007E5A2F">
              <w:rPr>
                <w:color w:val="002060"/>
                <w:sz w:val="24"/>
                <w:szCs w:val="24"/>
              </w:rPr>
              <w:lastRenderedPageBreak/>
              <w:t>7. Recommendations for interventions and reasonable adjustments should be clearly linked to:</w:t>
            </w:r>
          </w:p>
          <w:p w14:paraId="0C410565" w14:textId="3A6FA68F" w:rsidR="000B59B2" w:rsidRPr="007E5A2F" w:rsidRDefault="000B59B2" w:rsidP="000B59B2">
            <w:pPr>
              <w:pStyle w:val="ListParagraph"/>
              <w:numPr>
                <w:ilvl w:val="0"/>
                <w:numId w:val="4"/>
              </w:numPr>
              <w:spacing w:line="276" w:lineRule="auto"/>
              <w:rPr>
                <w:color w:val="002060"/>
                <w:sz w:val="24"/>
                <w:szCs w:val="24"/>
              </w:rPr>
            </w:pPr>
            <w:r w:rsidRPr="007E5A2F">
              <w:rPr>
                <w:color w:val="002060"/>
                <w:sz w:val="24"/>
                <w:szCs w:val="24"/>
              </w:rPr>
              <w:t>The individual’s difficulties reported in the background information, and evidenced in the assessor’s quantitative and/or qualitative analysis of performance in tests.</w:t>
            </w:r>
          </w:p>
          <w:p w14:paraId="21951839" w14:textId="77777777" w:rsidR="000B59B2" w:rsidRDefault="000B59B2" w:rsidP="000B59B2">
            <w:pPr>
              <w:pStyle w:val="ListParagraph"/>
              <w:numPr>
                <w:ilvl w:val="0"/>
                <w:numId w:val="4"/>
              </w:numPr>
              <w:spacing w:line="276" w:lineRule="auto"/>
              <w:rPr>
                <w:color w:val="002060"/>
                <w:sz w:val="24"/>
                <w:szCs w:val="24"/>
              </w:rPr>
            </w:pPr>
            <w:r w:rsidRPr="007E5A2F">
              <w:rPr>
                <w:color w:val="002060"/>
                <w:sz w:val="24"/>
                <w:szCs w:val="24"/>
              </w:rPr>
              <w:t>The individual’s needs within the classroom, course or job. Wherever possible recommendations should be developed collaboratively with relevant mathematics specialists in the individual’s school, course or workplace.</w:t>
            </w:r>
          </w:p>
          <w:p w14:paraId="01045508" w14:textId="50C79571" w:rsidR="00F25BF2" w:rsidRPr="007D3E97" w:rsidRDefault="00F25BF2" w:rsidP="00F25BF2">
            <w:pPr>
              <w:pStyle w:val="ListParagraph"/>
              <w:spacing w:line="276" w:lineRule="auto"/>
              <w:rPr>
                <w:color w:val="002060"/>
                <w:sz w:val="24"/>
                <w:szCs w:val="24"/>
              </w:rPr>
            </w:pPr>
          </w:p>
        </w:tc>
        <w:tc>
          <w:tcPr>
            <w:tcW w:w="2105" w:type="pct"/>
          </w:tcPr>
          <w:p w14:paraId="6A54022F" w14:textId="77777777" w:rsidR="000B59B2" w:rsidRPr="007E5A2F" w:rsidRDefault="000B59B2" w:rsidP="000B59B2">
            <w:pPr>
              <w:spacing w:line="276" w:lineRule="auto"/>
              <w:rPr>
                <w:color w:val="002060"/>
                <w:sz w:val="24"/>
                <w:szCs w:val="24"/>
              </w:rPr>
            </w:pPr>
          </w:p>
        </w:tc>
      </w:tr>
    </w:tbl>
    <w:p w14:paraId="75A29030" w14:textId="77777777" w:rsidR="00B55B4E" w:rsidRPr="007E5A2F" w:rsidRDefault="00B55B4E" w:rsidP="000B59B2">
      <w:pPr>
        <w:spacing w:line="276" w:lineRule="auto"/>
        <w:rPr>
          <w:color w:val="002060"/>
          <w:sz w:val="24"/>
          <w:szCs w:val="24"/>
        </w:rPr>
      </w:pPr>
    </w:p>
    <w:p w14:paraId="52FAB6E5" w14:textId="1C99F9D1" w:rsidR="00B55B4E" w:rsidRPr="00F25BF2" w:rsidRDefault="007E5A2F" w:rsidP="00F25BF2">
      <w:pPr>
        <w:spacing w:after="0" w:line="276" w:lineRule="auto"/>
        <w:rPr>
          <w:color w:val="002060"/>
          <w:sz w:val="24"/>
          <w:szCs w:val="24"/>
        </w:rPr>
      </w:pPr>
      <w:r w:rsidRPr="00F25BF2">
        <w:rPr>
          <w:color w:val="002060"/>
          <w:sz w:val="24"/>
          <w:szCs w:val="24"/>
        </w:rPr>
        <w:t>The APEL route will ask you to evidence that you meet the above criteria through the submission of a portfolio containing:</w:t>
      </w:r>
      <w:r w:rsidR="00F25BF2">
        <w:rPr>
          <w:color w:val="002060"/>
          <w:sz w:val="24"/>
          <w:szCs w:val="24"/>
        </w:rPr>
        <w:br/>
      </w:r>
    </w:p>
    <w:p w14:paraId="2D580D69" w14:textId="77777777" w:rsidR="00F25BF2" w:rsidRPr="00F25BF2" w:rsidRDefault="00F25BF2" w:rsidP="00F25BF2">
      <w:pPr>
        <w:pStyle w:val="ListParagraph"/>
        <w:numPr>
          <w:ilvl w:val="0"/>
          <w:numId w:val="4"/>
        </w:numPr>
        <w:spacing w:after="0" w:line="276" w:lineRule="auto"/>
        <w:rPr>
          <w:color w:val="002060"/>
          <w:sz w:val="24"/>
          <w:szCs w:val="24"/>
        </w:rPr>
      </w:pPr>
      <w:r w:rsidRPr="00F25BF2">
        <w:rPr>
          <w:color w:val="002060"/>
          <w:sz w:val="24"/>
          <w:szCs w:val="24"/>
        </w:rPr>
        <w:t xml:space="preserve">Certificate, evidencing that the individual has completed a level 7 course in dyslexia assessment which would entitle them to AMBDA/APC. Alternatively, a current APC certificate. </w:t>
      </w:r>
    </w:p>
    <w:p w14:paraId="26072F5E" w14:textId="77777777" w:rsidR="00F25BF2" w:rsidRPr="00F25BF2" w:rsidRDefault="00F25BF2" w:rsidP="00F25BF2">
      <w:pPr>
        <w:pStyle w:val="ListParagraph"/>
        <w:numPr>
          <w:ilvl w:val="0"/>
          <w:numId w:val="4"/>
        </w:numPr>
        <w:spacing w:after="0" w:line="276" w:lineRule="auto"/>
        <w:rPr>
          <w:color w:val="002060"/>
          <w:sz w:val="24"/>
          <w:szCs w:val="24"/>
        </w:rPr>
      </w:pPr>
      <w:r w:rsidRPr="00F25BF2">
        <w:rPr>
          <w:color w:val="002060"/>
          <w:sz w:val="24"/>
          <w:szCs w:val="24"/>
        </w:rPr>
        <w:t>CV which evidences relevant experience.</w:t>
      </w:r>
    </w:p>
    <w:p w14:paraId="7CB0E1CA" w14:textId="77777777" w:rsidR="00F25BF2" w:rsidRPr="00F25BF2" w:rsidRDefault="00F25BF2" w:rsidP="00F25BF2">
      <w:pPr>
        <w:pStyle w:val="ListParagraph"/>
        <w:numPr>
          <w:ilvl w:val="0"/>
          <w:numId w:val="4"/>
        </w:numPr>
        <w:spacing w:after="0" w:line="276" w:lineRule="auto"/>
        <w:rPr>
          <w:color w:val="002060"/>
          <w:sz w:val="24"/>
          <w:szCs w:val="24"/>
        </w:rPr>
      </w:pPr>
      <w:r w:rsidRPr="00F25BF2">
        <w:rPr>
          <w:color w:val="002060"/>
          <w:sz w:val="24"/>
          <w:szCs w:val="24"/>
        </w:rPr>
        <w:t>Details of CPD training related to Maths teaching, assessment and cognition including personal research and mentoring (minimum 20 hours).</w:t>
      </w:r>
    </w:p>
    <w:p w14:paraId="28D30EE0" w14:textId="77777777" w:rsidR="00F25BF2" w:rsidRPr="00F25BF2" w:rsidRDefault="00F25BF2" w:rsidP="00F25BF2">
      <w:pPr>
        <w:pStyle w:val="ListParagraph"/>
        <w:numPr>
          <w:ilvl w:val="0"/>
          <w:numId w:val="4"/>
        </w:numPr>
        <w:spacing w:after="0" w:line="276" w:lineRule="auto"/>
        <w:rPr>
          <w:color w:val="002060"/>
          <w:sz w:val="24"/>
          <w:szCs w:val="24"/>
        </w:rPr>
      </w:pPr>
      <w:r w:rsidRPr="00F25BF2">
        <w:rPr>
          <w:color w:val="002060"/>
          <w:sz w:val="24"/>
          <w:szCs w:val="24"/>
        </w:rPr>
        <w:t>A full diagnostic assessment report for dyscalculia carried out in the past 12 months which meets the current SASC criteria and all original test papers from the assessment.</w:t>
      </w:r>
    </w:p>
    <w:p w14:paraId="43EE7108" w14:textId="02940A5A" w:rsidR="00F25BF2" w:rsidRPr="00F25BF2" w:rsidRDefault="00F25BF2" w:rsidP="00F25BF2">
      <w:pPr>
        <w:pStyle w:val="ListParagraph"/>
        <w:numPr>
          <w:ilvl w:val="0"/>
          <w:numId w:val="4"/>
        </w:numPr>
        <w:spacing w:after="0" w:line="276" w:lineRule="auto"/>
        <w:rPr>
          <w:color w:val="002060"/>
          <w:sz w:val="24"/>
          <w:szCs w:val="24"/>
        </w:rPr>
      </w:pPr>
      <w:r w:rsidRPr="00F25BF2">
        <w:rPr>
          <w:color w:val="002060"/>
          <w:sz w:val="24"/>
          <w:szCs w:val="24"/>
        </w:rPr>
        <w:t xml:space="preserve">Record of specialist maths teaching including evidence of planning a scheme of work covering </w:t>
      </w:r>
      <w:r w:rsidR="000E1BA2">
        <w:rPr>
          <w:color w:val="002060"/>
          <w:sz w:val="24"/>
          <w:szCs w:val="24"/>
        </w:rPr>
        <w:t>3</w:t>
      </w:r>
      <w:r w:rsidRPr="00F25BF2">
        <w:rPr>
          <w:color w:val="002060"/>
          <w:sz w:val="24"/>
          <w:szCs w:val="24"/>
        </w:rPr>
        <w:t>0 hours of specialist teaching and samples of lessons plans and student work</w:t>
      </w:r>
      <w:r w:rsidR="009C56C9">
        <w:rPr>
          <w:color w:val="002060"/>
          <w:sz w:val="24"/>
          <w:szCs w:val="24"/>
        </w:rPr>
        <w:t xml:space="preserve"> </w:t>
      </w:r>
      <w:r w:rsidR="009C56C9" w:rsidRPr="00FA1E13">
        <w:rPr>
          <w:color w:val="002060"/>
          <w:sz w:val="24"/>
          <w:szCs w:val="24"/>
        </w:rPr>
        <w:t>(with 2 or 3 learners)</w:t>
      </w:r>
      <w:r w:rsidRPr="00F25BF2">
        <w:rPr>
          <w:color w:val="002060"/>
          <w:sz w:val="24"/>
          <w:szCs w:val="24"/>
        </w:rPr>
        <w:t xml:space="preserve">. </w:t>
      </w:r>
    </w:p>
    <w:p w14:paraId="2D730897" w14:textId="77777777" w:rsidR="00F25BF2" w:rsidRPr="00F25BF2" w:rsidRDefault="00F25BF2" w:rsidP="00F25BF2">
      <w:pPr>
        <w:pStyle w:val="ListParagraph"/>
        <w:numPr>
          <w:ilvl w:val="0"/>
          <w:numId w:val="4"/>
        </w:numPr>
        <w:spacing w:after="0" w:line="276" w:lineRule="auto"/>
        <w:rPr>
          <w:color w:val="002060"/>
          <w:sz w:val="24"/>
          <w:szCs w:val="24"/>
        </w:rPr>
      </w:pPr>
      <w:r w:rsidRPr="00F25BF2">
        <w:rPr>
          <w:color w:val="002060"/>
          <w:sz w:val="24"/>
          <w:szCs w:val="24"/>
        </w:rPr>
        <w:t>Record of maths teaching overall.</w:t>
      </w:r>
    </w:p>
    <w:p w14:paraId="311D43AD" w14:textId="11F2474D" w:rsidR="00F25BF2" w:rsidRPr="00F25BF2" w:rsidRDefault="00F25BF2" w:rsidP="00F25BF2">
      <w:pPr>
        <w:pStyle w:val="ListParagraph"/>
        <w:numPr>
          <w:ilvl w:val="0"/>
          <w:numId w:val="4"/>
        </w:numPr>
        <w:spacing w:after="0" w:line="276" w:lineRule="auto"/>
        <w:rPr>
          <w:color w:val="002060"/>
          <w:sz w:val="24"/>
          <w:szCs w:val="24"/>
        </w:rPr>
      </w:pPr>
      <w:r w:rsidRPr="00F25BF2">
        <w:rPr>
          <w:color w:val="002060"/>
          <w:sz w:val="24"/>
          <w:szCs w:val="24"/>
        </w:rPr>
        <w:t xml:space="preserve">Record of diagnostic assessments for learners with </w:t>
      </w:r>
      <w:r w:rsidR="00F51EA8">
        <w:rPr>
          <w:color w:val="002060"/>
          <w:sz w:val="24"/>
          <w:szCs w:val="24"/>
        </w:rPr>
        <w:t>Mat</w:t>
      </w:r>
      <w:r w:rsidR="00B81A6E">
        <w:rPr>
          <w:color w:val="002060"/>
          <w:sz w:val="24"/>
          <w:szCs w:val="24"/>
        </w:rPr>
        <w:t>hs</w:t>
      </w:r>
      <w:r w:rsidR="00F51EA8">
        <w:rPr>
          <w:color w:val="002060"/>
          <w:sz w:val="24"/>
          <w:szCs w:val="24"/>
        </w:rPr>
        <w:t xml:space="preserve"> difficulties</w:t>
      </w:r>
      <w:r w:rsidRPr="00F25BF2">
        <w:rPr>
          <w:color w:val="002060"/>
          <w:sz w:val="24"/>
          <w:szCs w:val="24"/>
        </w:rPr>
        <w:t xml:space="preserve"> in the past 2 years.  Please only use date of assessment and age of learner with a brief overview of the assessment outcome.</w:t>
      </w:r>
    </w:p>
    <w:p w14:paraId="4ABA0DE0" w14:textId="77777777" w:rsidR="00F25BF2" w:rsidRPr="00F25BF2" w:rsidRDefault="00F25BF2" w:rsidP="00F25BF2">
      <w:pPr>
        <w:pStyle w:val="ListParagraph"/>
        <w:numPr>
          <w:ilvl w:val="0"/>
          <w:numId w:val="4"/>
        </w:numPr>
        <w:spacing w:after="0" w:line="276" w:lineRule="auto"/>
        <w:rPr>
          <w:color w:val="002060"/>
          <w:sz w:val="24"/>
          <w:szCs w:val="24"/>
        </w:rPr>
      </w:pPr>
      <w:r w:rsidRPr="00F25BF2">
        <w:rPr>
          <w:color w:val="002060"/>
          <w:sz w:val="24"/>
          <w:szCs w:val="24"/>
        </w:rPr>
        <w:lastRenderedPageBreak/>
        <w:t>Other relevant information about involvement in training, research, writing books and papers etc. pertaining to maths cognition and learning.</w:t>
      </w:r>
    </w:p>
    <w:p w14:paraId="3F08D6D8" w14:textId="77777777" w:rsidR="007E5A2F" w:rsidRPr="007E5A2F" w:rsidRDefault="007E5A2F" w:rsidP="007E5A2F">
      <w:pPr>
        <w:pStyle w:val="NormalWeb"/>
        <w:shd w:val="clear" w:color="auto" w:fill="FBFCFE"/>
        <w:rPr>
          <w:rFonts w:asciiTheme="minorHAnsi" w:hAnsiTheme="minorHAnsi" w:cstheme="minorBidi"/>
          <w:color w:val="002060"/>
          <w:kern w:val="2"/>
          <w:lang w:eastAsia="en-US"/>
          <w14:ligatures w14:val="standardContextual"/>
        </w:rPr>
      </w:pPr>
    </w:p>
    <w:p w14:paraId="0183D142" w14:textId="77777777" w:rsidR="007E5A2F" w:rsidRPr="007E5A2F" w:rsidRDefault="007E5A2F" w:rsidP="000B59B2">
      <w:pPr>
        <w:spacing w:line="276" w:lineRule="auto"/>
        <w:rPr>
          <w:color w:val="002060"/>
          <w:sz w:val="24"/>
          <w:szCs w:val="24"/>
        </w:rPr>
      </w:pPr>
    </w:p>
    <w:sectPr w:rsidR="007E5A2F" w:rsidRPr="007E5A2F" w:rsidSect="00B55B4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4428F"/>
    <w:multiLevelType w:val="hybridMultilevel"/>
    <w:tmpl w:val="6120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E0F13"/>
    <w:multiLevelType w:val="hybridMultilevel"/>
    <w:tmpl w:val="3206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43BEA"/>
    <w:multiLevelType w:val="hybridMultilevel"/>
    <w:tmpl w:val="622A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C116A"/>
    <w:multiLevelType w:val="hybridMultilevel"/>
    <w:tmpl w:val="9ECA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D2FCC"/>
    <w:multiLevelType w:val="hybridMultilevel"/>
    <w:tmpl w:val="8876A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31BDE"/>
    <w:multiLevelType w:val="hybridMultilevel"/>
    <w:tmpl w:val="1F84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77705"/>
    <w:multiLevelType w:val="hybridMultilevel"/>
    <w:tmpl w:val="B5E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473A8"/>
    <w:multiLevelType w:val="hybridMultilevel"/>
    <w:tmpl w:val="77B0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57672"/>
    <w:multiLevelType w:val="hybridMultilevel"/>
    <w:tmpl w:val="7E9E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709937">
    <w:abstractNumId w:val="4"/>
  </w:num>
  <w:num w:numId="2" w16cid:durableId="1367949450">
    <w:abstractNumId w:val="0"/>
  </w:num>
  <w:num w:numId="3" w16cid:durableId="675424707">
    <w:abstractNumId w:val="6"/>
  </w:num>
  <w:num w:numId="4" w16cid:durableId="167914559">
    <w:abstractNumId w:val="2"/>
  </w:num>
  <w:num w:numId="5" w16cid:durableId="955403287">
    <w:abstractNumId w:val="7"/>
  </w:num>
  <w:num w:numId="6" w16cid:durableId="2074309441">
    <w:abstractNumId w:val="5"/>
  </w:num>
  <w:num w:numId="7" w16cid:durableId="698628216">
    <w:abstractNumId w:val="1"/>
  </w:num>
  <w:num w:numId="8" w16cid:durableId="1727412462">
    <w:abstractNumId w:val="3"/>
  </w:num>
  <w:num w:numId="9" w16cid:durableId="1756244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4E"/>
    <w:rsid w:val="00022A4D"/>
    <w:rsid w:val="000B59B2"/>
    <w:rsid w:val="000E1BA2"/>
    <w:rsid w:val="001331F7"/>
    <w:rsid w:val="001E4C30"/>
    <w:rsid w:val="002905D3"/>
    <w:rsid w:val="003543B6"/>
    <w:rsid w:val="00435440"/>
    <w:rsid w:val="006D7083"/>
    <w:rsid w:val="007D3E97"/>
    <w:rsid w:val="007E5A2F"/>
    <w:rsid w:val="008505C6"/>
    <w:rsid w:val="00871393"/>
    <w:rsid w:val="008F1E61"/>
    <w:rsid w:val="00955B5F"/>
    <w:rsid w:val="0097440C"/>
    <w:rsid w:val="009C56C9"/>
    <w:rsid w:val="00A41A51"/>
    <w:rsid w:val="00B0059A"/>
    <w:rsid w:val="00B55B4E"/>
    <w:rsid w:val="00B81A6E"/>
    <w:rsid w:val="00C741A8"/>
    <w:rsid w:val="00D623FF"/>
    <w:rsid w:val="00DB0578"/>
    <w:rsid w:val="00EC2431"/>
    <w:rsid w:val="00F2586E"/>
    <w:rsid w:val="00F25BF2"/>
    <w:rsid w:val="00F51EA8"/>
    <w:rsid w:val="00FA1E13"/>
    <w:rsid w:val="00FE5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89E0"/>
  <w15:chartTrackingRefBased/>
  <w15:docId w15:val="{92D82C8D-915B-400C-8E66-31587E1C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B4E"/>
    <w:rPr>
      <w:rFonts w:eastAsiaTheme="majorEastAsia" w:cstheme="majorBidi"/>
      <w:color w:val="272727" w:themeColor="text1" w:themeTint="D8"/>
    </w:rPr>
  </w:style>
  <w:style w:type="paragraph" w:styleId="Title">
    <w:name w:val="Title"/>
    <w:basedOn w:val="Normal"/>
    <w:next w:val="Normal"/>
    <w:link w:val="TitleChar"/>
    <w:uiPriority w:val="10"/>
    <w:qFormat/>
    <w:rsid w:val="00B55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B4E"/>
    <w:pPr>
      <w:spacing w:before="160"/>
      <w:jc w:val="center"/>
    </w:pPr>
    <w:rPr>
      <w:i/>
      <w:iCs/>
      <w:color w:val="404040" w:themeColor="text1" w:themeTint="BF"/>
    </w:rPr>
  </w:style>
  <w:style w:type="character" w:customStyle="1" w:styleId="QuoteChar">
    <w:name w:val="Quote Char"/>
    <w:basedOn w:val="DefaultParagraphFont"/>
    <w:link w:val="Quote"/>
    <w:uiPriority w:val="29"/>
    <w:rsid w:val="00B55B4E"/>
    <w:rPr>
      <w:i/>
      <w:iCs/>
      <w:color w:val="404040" w:themeColor="text1" w:themeTint="BF"/>
    </w:rPr>
  </w:style>
  <w:style w:type="paragraph" w:styleId="ListParagraph">
    <w:name w:val="List Paragraph"/>
    <w:basedOn w:val="Normal"/>
    <w:uiPriority w:val="34"/>
    <w:qFormat/>
    <w:rsid w:val="00B55B4E"/>
    <w:pPr>
      <w:ind w:left="720"/>
      <w:contextualSpacing/>
    </w:pPr>
  </w:style>
  <w:style w:type="character" w:styleId="IntenseEmphasis">
    <w:name w:val="Intense Emphasis"/>
    <w:basedOn w:val="DefaultParagraphFont"/>
    <w:uiPriority w:val="21"/>
    <w:qFormat/>
    <w:rsid w:val="00B55B4E"/>
    <w:rPr>
      <w:i/>
      <w:iCs/>
      <w:color w:val="0F4761" w:themeColor="accent1" w:themeShade="BF"/>
    </w:rPr>
  </w:style>
  <w:style w:type="paragraph" w:styleId="IntenseQuote">
    <w:name w:val="Intense Quote"/>
    <w:basedOn w:val="Normal"/>
    <w:next w:val="Normal"/>
    <w:link w:val="IntenseQuoteChar"/>
    <w:uiPriority w:val="30"/>
    <w:qFormat/>
    <w:rsid w:val="00B55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B4E"/>
    <w:rPr>
      <w:i/>
      <w:iCs/>
      <w:color w:val="0F4761" w:themeColor="accent1" w:themeShade="BF"/>
    </w:rPr>
  </w:style>
  <w:style w:type="character" w:styleId="IntenseReference">
    <w:name w:val="Intense Reference"/>
    <w:basedOn w:val="DefaultParagraphFont"/>
    <w:uiPriority w:val="32"/>
    <w:qFormat/>
    <w:rsid w:val="00B55B4E"/>
    <w:rPr>
      <w:b/>
      <w:bCs/>
      <w:smallCaps/>
      <w:color w:val="0F4761" w:themeColor="accent1" w:themeShade="BF"/>
      <w:spacing w:val="5"/>
    </w:rPr>
  </w:style>
  <w:style w:type="table" w:styleId="TableGrid">
    <w:name w:val="Table Grid"/>
    <w:basedOn w:val="TableNormal"/>
    <w:uiPriority w:val="39"/>
    <w:rsid w:val="00B5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B5F"/>
    <w:rPr>
      <w:color w:val="467886" w:themeColor="hyperlink"/>
      <w:u w:val="single"/>
    </w:rPr>
  </w:style>
  <w:style w:type="character" w:styleId="UnresolvedMention">
    <w:name w:val="Unresolved Mention"/>
    <w:basedOn w:val="DefaultParagraphFont"/>
    <w:uiPriority w:val="99"/>
    <w:semiHidden/>
    <w:unhideWhenUsed/>
    <w:rsid w:val="00955B5F"/>
    <w:rPr>
      <w:color w:val="605E5C"/>
      <w:shd w:val="clear" w:color="auto" w:fill="E1DFDD"/>
    </w:rPr>
  </w:style>
  <w:style w:type="paragraph" w:styleId="NormalWeb">
    <w:name w:val="Normal (Web)"/>
    <w:basedOn w:val="Normal"/>
    <w:uiPriority w:val="99"/>
    <w:semiHidden/>
    <w:unhideWhenUsed/>
    <w:rsid w:val="007E5A2F"/>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sc.org.uk/sasc-downloa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Lovell</dc:creator>
  <cp:keywords/>
  <dc:description/>
  <cp:lastModifiedBy>Lynn Lovell</cp:lastModifiedBy>
  <cp:revision>23</cp:revision>
  <dcterms:created xsi:type="dcterms:W3CDTF">2024-12-18T14:57:00Z</dcterms:created>
  <dcterms:modified xsi:type="dcterms:W3CDTF">2025-01-15T13:48:00Z</dcterms:modified>
</cp:coreProperties>
</file>